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FCB6D" w14:textId="77777777" w:rsidR="00DB0404" w:rsidRPr="00A77A6B" w:rsidRDefault="00DB0404" w:rsidP="00DB0404">
      <w:pPr>
        <w:rPr>
          <w:b/>
          <w:szCs w:val="20"/>
        </w:rPr>
      </w:pPr>
      <w:r>
        <w:rPr>
          <w:b/>
          <w:szCs w:val="20"/>
        </w:rPr>
        <w:t xml:space="preserve">Written </w:t>
      </w:r>
      <w:r w:rsidRPr="00A77A6B">
        <w:rPr>
          <w:b/>
          <w:szCs w:val="20"/>
        </w:rPr>
        <w:t xml:space="preserve">Case Analysis </w:t>
      </w:r>
      <w:r>
        <w:rPr>
          <w:b/>
          <w:szCs w:val="20"/>
        </w:rPr>
        <w:t>(Individual Assignment)</w:t>
      </w:r>
      <w:r w:rsidRPr="00A77A6B">
        <w:rPr>
          <w:b/>
          <w:szCs w:val="20"/>
        </w:rPr>
        <w:t>– 2</w:t>
      </w:r>
      <w:r>
        <w:rPr>
          <w:b/>
          <w:szCs w:val="20"/>
        </w:rPr>
        <w:t>5</w:t>
      </w:r>
      <w:r w:rsidRPr="00A77A6B">
        <w:rPr>
          <w:b/>
          <w:szCs w:val="20"/>
        </w:rPr>
        <w:t>%</w:t>
      </w:r>
    </w:p>
    <w:p w14:paraId="546BDACE" w14:textId="77777777" w:rsidR="00DB0404" w:rsidRPr="00A77A6B" w:rsidRDefault="00DB0404" w:rsidP="00DB0404">
      <w:pPr>
        <w:rPr>
          <w:b/>
          <w:szCs w:val="20"/>
        </w:rPr>
      </w:pPr>
      <w:r w:rsidRPr="00A77A6B">
        <w:rPr>
          <w:b/>
          <w:szCs w:val="20"/>
        </w:rPr>
        <w:t xml:space="preserve">Choose one of the cases from Weeks 3-6 </w:t>
      </w:r>
      <w:r>
        <w:rPr>
          <w:b/>
          <w:szCs w:val="20"/>
        </w:rPr>
        <w:t>&amp;</w:t>
      </w:r>
      <w:r w:rsidRPr="00A77A6B">
        <w:rPr>
          <w:b/>
          <w:szCs w:val="20"/>
        </w:rPr>
        <w:t xml:space="preserve"> </w:t>
      </w:r>
      <w:r>
        <w:rPr>
          <w:b/>
          <w:szCs w:val="20"/>
        </w:rPr>
        <w:t xml:space="preserve">answer 2 case questions in </w:t>
      </w:r>
      <w:r w:rsidRPr="00A77A6B">
        <w:rPr>
          <w:b/>
          <w:szCs w:val="20"/>
        </w:rPr>
        <w:t>3 pages</w:t>
      </w:r>
    </w:p>
    <w:p w14:paraId="2111C0B4" w14:textId="21151673" w:rsidR="00EA5F0F" w:rsidRDefault="00EA5F0F" w:rsidP="00DB0404">
      <w:pPr>
        <w:rPr>
          <w:szCs w:val="20"/>
        </w:rPr>
      </w:pPr>
      <w:r>
        <w:rPr>
          <w:szCs w:val="20"/>
        </w:rPr>
        <w:t xml:space="preserve">Word limit: 1,500 words (+/- 10%) excluding references </w:t>
      </w:r>
    </w:p>
    <w:p w14:paraId="48B5F23E" w14:textId="6D3B900A" w:rsidR="00DB0404" w:rsidRPr="00A77A6B" w:rsidRDefault="00DB0404" w:rsidP="00DB0404">
      <w:pPr>
        <w:rPr>
          <w:szCs w:val="20"/>
        </w:rPr>
      </w:pPr>
      <w:r w:rsidRPr="00A77A6B">
        <w:rPr>
          <w:szCs w:val="20"/>
        </w:rPr>
        <w:t xml:space="preserve">Due on the day when the case is scheduled for discussion (last case discussed on </w:t>
      </w:r>
      <w:r w:rsidR="00BD1292">
        <w:rPr>
          <w:szCs w:val="20"/>
        </w:rPr>
        <w:t>2</w:t>
      </w:r>
      <w:r>
        <w:rPr>
          <w:szCs w:val="20"/>
        </w:rPr>
        <w:t>3</w:t>
      </w:r>
      <w:r w:rsidRPr="00A77A6B">
        <w:rPr>
          <w:szCs w:val="20"/>
        </w:rPr>
        <w:t>/</w:t>
      </w:r>
      <w:r w:rsidR="00BD1292">
        <w:rPr>
          <w:szCs w:val="20"/>
        </w:rPr>
        <w:t>8</w:t>
      </w:r>
      <w:r w:rsidRPr="00A77A6B">
        <w:rPr>
          <w:szCs w:val="20"/>
        </w:rPr>
        <w:t>)</w:t>
      </w:r>
    </w:p>
    <w:p w14:paraId="34C64EAA" w14:textId="3CE9F2C5" w:rsidR="00DB0404" w:rsidRPr="00A77A6B" w:rsidRDefault="00DB0404" w:rsidP="00DB0404">
      <w:pPr>
        <w:rPr>
          <w:szCs w:val="20"/>
        </w:rPr>
      </w:pPr>
      <w:r w:rsidRPr="00A77A6B">
        <w:rPr>
          <w:szCs w:val="20"/>
        </w:rPr>
        <w:t xml:space="preserve">Each student has to submit a written response to 2 of the case questions </w:t>
      </w:r>
      <w:r>
        <w:rPr>
          <w:szCs w:val="20"/>
        </w:rPr>
        <w:t xml:space="preserve">(see the questions </w:t>
      </w:r>
      <w:r w:rsidR="00BD1292">
        <w:rPr>
          <w:szCs w:val="20"/>
        </w:rPr>
        <w:t>below</w:t>
      </w:r>
      <w:r>
        <w:rPr>
          <w:szCs w:val="20"/>
        </w:rPr>
        <w:t xml:space="preserve">) </w:t>
      </w:r>
      <w:r w:rsidRPr="00A77A6B">
        <w:rPr>
          <w:szCs w:val="20"/>
        </w:rPr>
        <w:t xml:space="preserve">for one of the case studies covered Weeks 3-6. This should be </w:t>
      </w:r>
      <w:r w:rsidR="00EA5F0F">
        <w:rPr>
          <w:szCs w:val="20"/>
        </w:rPr>
        <w:t xml:space="preserve">max. </w:t>
      </w:r>
      <w:r w:rsidRPr="00A77A6B">
        <w:rPr>
          <w:szCs w:val="20"/>
        </w:rPr>
        <w:t xml:space="preserve">3 pages long (excluding references), font 11, 1.5 spacing, about one page and a half per question. In your references, you should limit yourself to the sources about the company dated before </w:t>
      </w:r>
      <w:r>
        <w:rPr>
          <w:szCs w:val="20"/>
        </w:rPr>
        <w:t xml:space="preserve">or in </w:t>
      </w:r>
      <w:r w:rsidRPr="00A77A6B">
        <w:rPr>
          <w:szCs w:val="20"/>
        </w:rPr>
        <w:t xml:space="preserve">the </w:t>
      </w:r>
      <w:r>
        <w:rPr>
          <w:szCs w:val="20"/>
        </w:rPr>
        <w:t>year</w:t>
      </w:r>
      <w:r w:rsidRPr="00A77A6B">
        <w:rPr>
          <w:szCs w:val="20"/>
        </w:rPr>
        <w:t xml:space="preserve"> when the case company situation is described</w:t>
      </w:r>
      <w:r>
        <w:rPr>
          <w:szCs w:val="20"/>
        </w:rPr>
        <w:t xml:space="preserve"> (see the year indicated for each case in the case questions above, say 201</w:t>
      </w:r>
      <w:r w:rsidR="0024172B">
        <w:rPr>
          <w:szCs w:val="20"/>
        </w:rPr>
        <w:t>6</w:t>
      </w:r>
      <w:r>
        <w:rPr>
          <w:szCs w:val="20"/>
        </w:rPr>
        <w:t xml:space="preserve"> for the Amazon case)</w:t>
      </w:r>
      <w:r w:rsidRPr="00A77A6B">
        <w:rPr>
          <w:szCs w:val="20"/>
        </w:rPr>
        <w:t xml:space="preserve">. You should not research anything extra about what happened to the company after the case situation—that is the goal of the group </w:t>
      </w:r>
      <w:r>
        <w:rPr>
          <w:szCs w:val="20"/>
        </w:rPr>
        <w:t>assignment 1</w:t>
      </w:r>
      <w:r w:rsidRPr="00A77A6B">
        <w:rPr>
          <w:szCs w:val="20"/>
        </w:rPr>
        <w:t>. You can refer to conceptual</w:t>
      </w:r>
      <w:r>
        <w:rPr>
          <w:szCs w:val="20"/>
        </w:rPr>
        <w:t xml:space="preserve"> and other</w:t>
      </w:r>
      <w:r w:rsidRPr="00A77A6B">
        <w:rPr>
          <w:szCs w:val="20"/>
        </w:rPr>
        <w:t xml:space="preserve"> readings that help you to analyse the case (no date restrictions on these).</w:t>
      </w:r>
      <w:r>
        <w:rPr>
          <w:szCs w:val="20"/>
        </w:rPr>
        <w:t xml:space="preserve"> These could be readings from our reading list or other academic and applied sources. A mix of academic and applied sources is encouraged, with at least 5-10 references expected. </w:t>
      </w:r>
    </w:p>
    <w:p w14:paraId="67E747F5" w14:textId="55B8ED11" w:rsidR="00FE6880" w:rsidRDefault="00DB0404" w:rsidP="00FE6880">
      <w:pPr>
        <w:rPr>
          <w:szCs w:val="20"/>
        </w:rPr>
      </w:pPr>
      <w:r w:rsidRPr="00A77A6B">
        <w:rPr>
          <w:b/>
          <w:szCs w:val="20"/>
        </w:rPr>
        <w:t xml:space="preserve">You should </w:t>
      </w:r>
      <w:r>
        <w:rPr>
          <w:b/>
          <w:szCs w:val="20"/>
        </w:rPr>
        <w:t xml:space="preserve">submit </w:t>
      </w:r>
      <w:r w:rsidRPr="00A77A6B">
        <w:rPr>
          <w:b/>
          <w:szCs w:val="20"/>
        </w:rPr>
        <w:t xml:space="preserve">your </w:t>
      </w:r>
      <w:r>
        <w:rPr>
          <w:b/>
          <w:szCs w:val="20"/>
        </w:rPr>
        <w:t xml:space="preserve">written </w:t>
      </w:r>
      <w:r w:rsidRPr="00A77A6B">
        <w:rPr>
          <w:b/>
          <w:szCs w:val="20"/>
        </w:rPr>
        <w:t xml:space="preserve">case analysis </w:t>
      </w:r>
      <w:r>
        <w:rPr>
          <w:b/>
          <w:szCs w:val="20"/>
        </w:rPr>
        <w:t xml:space="preserve">electronically </w:t>
      </w:r>
      <w:r w:rsidR="001B274A">
        <w:rPr>
          <w:b/>
          <w:szCs w:val="20"/>
        </w:rPr>
        <w:t xml:space="preserve">at the latest one hour BEFORE </w:t>
      </w:r>
      <w:r w:rsidRPr="00A77A6B">
        <w:rPr>
          <w:b/>
          <w:szCs w:val="20"/>
        </w:rPr>
        <w:t xml:space="preserve">THE START OF THE CLASS </w:t>
      </w:r>
      <w:r>
        <w:rPr>
          <w:b/>
          <w:szCs w:val="20"/>
        </w:rPr>
        <w:t>(</w:t>
      </w:r>
      <w:r w:rsidR="001B274A">
        <w:rPr>
          <w:b/>
          <w:szCs w:val="20"/>
        </w:rPr>
        <w:t xml:space="preserve">class starts </w:t>
      </w:r>
      <w:r w:rsidR="00BD1292">
        <w:rPr>
          <w:b/>
          <w:szCs w:val="20"/>
        </w:rPr>
        <w:t>3</w:t>
      </w:r>
      <w:r>
        <w:rPr>
          <w:b/>
          <w:szCs w:val="20"/>
        </w:rPr>
        <w:t>pm</w:t>
      </w:r>
      <w:r w:rsidR="001B274A">
        <w:rPr>
          <w:b/>
          <w:szCs w:val="20"/>
        </w:rPr>
        <w:t>, submission due 2pm</w:t>
      </w:r>
      <w:r>
        <w:rPr>
          <w:b/>
          <w:szCs w:val="20"/>
        </w:rPr>
        <w:t xml:space="preserve">) </w:t>
      </w:r>
      <w:r w:rsidRPr="00A77A6B">
        <w:rPr>
          <w:b/>
          <w:szCs w:val="20"/>
        </w:rPr>
        <w:t xml:space="preserve">when we discuss the case. We will be discussing the cases in our </w:t>
      </w:r>
      <w:r w:rsidR="00BD1292">
        <w:rPr>
          <w:b/>
          <w:szCs w:val="20"/>
        </w:rPr>
        <w:t>Monday</w:t>
      </w:r>
      <w:r w:rsidRPr="00A77A6B">
        <w:rPr>
          <w:b/>
          <w:szCs w:val="20"/>
        </w:rPr>
        <w:t xml:space="preserve"> classes.</w:t>
      </w:r>
      <w:r>
        <w:rPr>
          <w:b/>
          <w:szCs w:val="20"/>
        </w:rPr>
        <w:t xml:space="preserve"> The assignment should include your name and University ID. </w:t>
      </w:r>
      <w:r w:rsidR="00185FEC">
        <w:rPr>
          <w:szCs w:val="20"/>
        </w:rPr>
        <w:t xml:space="preserve">You </w:t>
      </w:r>
      <w:r>
        <w:rPr>
          <w:szCs w:val="20"/>
        </w:rPr>
        <w:t xml:space="preserve">should </w:t>
      </w:r>
      <w:r w:rsidR="00185FEC">
        <w:rPr>
          <w:szCs w:val="20"/>
        </w:rPr>
        <w:t xml:space="preserve">submit </w:t>
      </w:r>
      <w:r w:rsidR="00FE6880">
        <w:rPr>
          <w:szCs w:val="20"/>
        </w:rPr>
        <w:t xml:space="preserve">online via </w:t>
      </w:r>
      <w:r w:rsidR="006A2ECA">
        <w:rPr>
          <w:szCs w:val="20"/>
        </w:rPr>
        <w:t>T</w:t>
      </w:r>
      <w:r w:rsidR="00185FEC">
        <w:rPr>
          <w:szCs w:val="20"/>
        </w:rPr>
        <w:t>urnitin in Canvas (click Assignments/Case Analysis).</w:t>
      </w:r>
    </w:p>
    <w:p w14:paraId="2EC07DF0" w14:textId="77777777" w:rsidR="00FE6880" w:rsidRDefault="00FE6880" w:rsidP="00FE6880">
      <w:pPr>
        <w:rPr>
          <w:szCs w:val="20"/>
        </w:rPr>
      </w:pPr>
      <w:r>
        <w:rPr>
          <w:szCs w:val="20"/>
        </w:rPr>
        <w:t>Marking Rubric:</w:t>
      </w:r>
    </w:p>
    <w:p w14:paraId="29AC244D" w14:textId="77777777" w:rsidR="008B6858" w:rsidRPr="00FE6880" w:rsidRDefault="00E33788" w:rsidP="00FE6880">
      <w:pPr>
        <w:numPr>
          <w:ilvl w:val="0"/>
          <w:numId w:val="5"/>
        </w:numPr>
        <w:rPr>
          <w:szCs w:val="20"/>
        </w:rPr>
      </w:pPr>
      <w:r w:rsidRPr="00FE6880">
        <w:rPr>
          <w:szCs w:val="20"/>
        </w:rPr>
        <w:t>Depth of analysis Q1</w:t>
      </w:r>
      <w:r w:rsidR="00FE6880">
        <w:rPr>
          <w:szCs w:val="20"/>
        </w:rPr>
        <w:t xml:space="preserve"> - 5%</w:t>
      </w:r>
      <w:r w:rsidR="00185FEC">
        <w:rPr>
          <w:szCs w:val="20"/>
        </w:rPr>
        <w:t xml:space="preserve"> (first of your chosen questions)</w:t>
      </w:r>
    </w:p>
    <w:p w14:paraId="4BF955B8" w14:textId="77777777" w:rsidR="008B6858" w:rsidRPr="00FE6880" w:rsidRDefault="00E33788" w:rsidP="00FE6880">
      <w:pPr>
        <w:numPr>
          <w:ilvl w:val="0"/>
          <w:numId w:val="5"/>
        </w:numPr>
        <w:rPr>
          <w:szCs w:val="20"/>
        </w:rPr>
      </w:pPr>
      <w:r w:rsidRPr="00FE6880">
        <w:rPr>
          <w:szCs w:val="20"/>
        </w:rPr>
        <w:t>Depth of analysis Q2</w:t>
      </w:r>
      <w:r w:rsidR="00FE6880">
        <w:rPr>
          <w:szCs w:val="20"/>
        </w:rPr>
        <w:t xml:space="preserve"> – 5%</w:t>
      </w:r>
      <w:r w:rsidR="00185FEC">
        <w:rPr>
          <w:szCs w:val="20"/>
        </w:rPr>
        <w:t xml:space="preserve"> (second of your chosen questions)</w:t>
      </w:r>
    </w:p>
    <w:p w14:paraId="375A5314" w14:textId="77777777" w:rsidR="008B6858" w:rsidRPr="00FE6880" w:rsidRDefault="00E33788" w:rsidP="00FE6880">
      <w:pPr>
        <w:numPr>
          <w:ilvl w:val="0"/>
          <w:numId w:val="5"/>
        </w:numPr>
        <w:rPr>
          <w:szCs w:val="20"/>
        </w:rPr>
      </w:pPr>
      <w:r w:rsidRPr="00FE6880">
        <w:rPr>
          <w:szCs w:val="20"/>
        </w:rPr>
        <w:t>Clarity of arguments</w:t>
      </w:r>
      <w:r w:rsidR="00FE6880">
        <w:rPr>
          <w:szCs w:val="20"/>
        </w:rPr>
        <w:t xml:space="preserve"> – 5%</w:t>
      </w:r>
      <w:r w:rsidR="00185FEC">
        <w:rPr>
          <w:szCs w:val="20"/>
        </w:rPr>
        <w:t xml:space="preserve"> (for both of your chosen questions)</w:t>
      </w:r>
    </w:p>
    <w:p w14:paraId="1F31FAF0" w14:textId="77777777" w:rsidR="008B6858" w:rsidRPr="00FE6880" w:rsidRDefault="00E33788" w:rsidP="00FE6880">
      <w:pPr>
        <w:numPr>
          <w:ilvl w:val="0"/>
          <w:numId w:val="5"/>
        </w:numPr>
        <w:rPr>
          <w:szCs w:val="20"/>
        </w:rPr>
      </w:pPr>
      <w:r w:rsidRPr="00FE6880">
        <w:rPr>
          <w:szCs w:val="20"/>
        </w:rPr>
        <w:t>Links to concepts</w:t>
      </w:r>
      <w:r w:rsidR="00FE6880">
        <w:rPr>
          <w:szCs w:val="20"/>
        </w:rPr>
        <w:t xml:space="preserve"> – 5%</w:t>
      </w:r>
      <w:r w:rsidR="00185FEC">
        <w:rPr>
          <w:szCs w:val="20"/>
        </w:rPr>
        <w:t xml:space="preserve"> (for both of your chosen questions)</w:t>
      </w:r>
    </w:p>
    <w:p w14:paraId="342BD3EF" w14:textId="77777777" w:rsidR="00DB0404" w:rsidRDefault="00E33788" w:rsidP="00FE6880">
      <w:pPr>
        <w:numPr>
          <w:ilvl w:val="0"/>
          <w:numId w:val="5"/>
        </w:numPr>
        <w:rPr>
          <w:szCs w:val="20"/>
        </w:rPr>
      </w:pPr>
      <w:r w:rsidRPr="00FE6880">
        <w:rPr>
          <w:szCs w:val="20"/>
        </w:rPr>
        <w:t>Style/grammar</w:t>
      </w:r>
      <w:r w:rsidR="00FE6880">
        <w:rPr>
          <w:szCs w:val="20"/>
        </w:rPr>
        <w:t xml:space="preserve"> – 5%</w:t>
      </w:r>
      <w:r w:rsidR="00185FEC">
        <w:rPr>
          <w:szCs w:val="20"/>
        </w:rPr>
        <w:t xml:space="preserve"> (for both of your chosen questions)</w:t>
      </w:r>
    </w:p>
    <w:p w14:paraId="2055069F" w14:textId="5FF6A8A7" w:rsidR="00FE6880" w:rsidRPr="00DB0404" w:rsidRDefault="00FE6880" w:rsidP="00DB0404">
      <w:pPr>
        <w:rPr>
          <w:szCs w:val="20"/>
        </w:rPr>
      </w:pPr>
      <w:r w:rsidRPr="00DB0404">
        <w:rPr>
          <w:szCs w:val="20"/>
        </w:rPr>
        <w:t>Referencing: any consistently used referencing style. We prefer the APA Style</w:t>
      </w:r>
      <w:r w:rsidR="00BD1292">
        <w:rPr>
          <w:szCs w:val="20"/>
        </w:rPr>
        <w:t xml:space="preserve"> (7</w:t>
      </w:r>
      <w:r w:rsidR="00BD1292">
        <w:rPr>
          <w:szCs w:val="20"/>
          <w:vertAlign w:val="superscript"/>
        </w:rPr>
        <w:t xml:space="preserve">th </w:t>
      </w:r>
      <w:r w:rsidR="00BD1292">
        <w:rPr>
          <w:szCs w:val="20"/>
        </w:rPr>
        <w:t>Ed</w:t>
      </w:r>
      <w:r w:rsidRPr="00DB0404">
        <w:rPr>
          <w:szCs w:val="20"/>
        </w:rPr>
        <w:t>.</w:t>
      </w:r>
      <w:r w:rsidR="00BD1292">
        <w:rPr>
          <w:szCs w:val="20"/>
        </w:rPr>
        <w:t>)</w:t>
      </w:r>
    </w:p>
    <w:p w14:paraId="1FC09AC6" w14:textId="77777777" w:rsidR="00BD1292" w:rsidRDefault="00FE6880" w:rsidP="00BD1292">
      <w:pPr>
        <w:rPr>
          <w:szCs w:val="20"/>
        </w:rPr>
      </w:pPr>
      <w:r>
        <w:rPr>
          <w:szCs w:val="20"/>
        </w:rPr>
        <w:t>References:</w:t>
      </w:r>
    </w:p>
    <w:p w14:paraId="05B73549" w14:textId="616FF96C" w:rsidR="00FE6880" w:rsidRPr="00BD1292" w:rsidRDefault="00FE6880" w:rsidP="00BD1292">
      <w:pPr>
        <w:rPr>
          <w:szCs w:val="20"/>
        </w:rPr>
      </w:pPr>
      <w:r>
        <w:t xml:space="preserve">For academic articles, you can consult these journals: </w:t>
      </w:r>
    </w:p>
    <w:p w14:paraId="6083D99B" w14:textId="77777777" w:rsidR="00FE6880" w:rsidRDefault="00FE6880" w:rsidP="00FE6880">
      <w:pPr>
        <w:ind w:left="-57"/>
        <w:rPr>
          <w:i/>
          <w:szCs w:val="20"/>
        </w:rPr>
      </w:pPr>
      <w:r w:rsidRPr="006D58FA">
        <w:rPr>
          <w:i/>
          <w:szCs w:val="20"/>
        </w:rPr>
        <w:t>Global Strategy Journal, Strategic Management Journal, Journal for International Business Studies, International Business Review, Thunderbird International Business Review, Journal of World Business, Journal of International Management</w:t>
      </w:r>
      <w:r>
        <w:rPr>
          <w:i/>
          <w:szCs w:val="20"/>
        </w:rPr>
        <w:t xml:space="preserve"> </w:t>
      </w:r>
      <w:r>
        <w:rPr>
          <w:szCs w:val="20"/>
        </w:rPr>
        <w:t>etc</w:t>
      </w:r>
      <w:r w:rsidRPr="006D58FA">
        <w:rPr>
          <w:i/>
          <w:szCs w:val="20"/>
        </w:rPr>
        <w:t>.</w:t>
      </w:r>
    </w:p>
    <w:p w14:paraId="3D3FEFF7" w14:textId="77777777" w:rsidR="00FE6880" w:rsidRDefault="00FE6880" w:rsidP="00FE6880">
      <w:pPr>
        <w:pStyle w:val="OutlineHeading"/>
        <w:spacing w:after="0"/>
        <w:outlineLvl w:val="0"/>
        <w:rPr>
          <w:rFonts w:ascii="Verdana" w:hAnsi="Verdana"/>
          <w:b w:val="0"/>
        </w:rPr>
      </w:pPr>
      <w:r>
        <w:rPr>
          <w:rFonts w:ascii="Verdana" w:hAnsi="Verdana"/>
          <w:b w:val="0"/>
        </w:rPr>
        <w:t xml:space="preserve">For managerial/applied articles, you can consult these sources: </w:t>
      </w:r>
    </w:p>
    <w:p w14:paraId="58E5BCB5" w14:textId="77777777" w:rsidR="00FE6880" w:rsidRPr="006D58FA" w:rsidRDefault="00FE6880" w:rsidP="00FE6880">
      <w:pPr>
        <w:ind w:left="-57"/>
        <w:rPr>
          <w:i/>
          <w:szCs w:val="20"/>
        </w:rPr>
      </w:pPr>
      <w:r w:rsidRPr="006D58FA">
        <w:rPr>
          <w:i/>
          <w:szCs w:val="20"/>
        </w:rPr>
        <w:t>Harvard Business Review, MIT Sloan Management Review, California Management Review, McKinsey Quarterl</w:t>
      </w:r>
      <w:r>
        <w:rPr>
          <w:i/>
          <w:szCs w:val="20"/>
        </w:rPr>
        <w:t xml:space="preserve">y </w:t>
      </w:r>
      <w:r>
        <w:rPr>
          <w:szCs w:val="20"/>
        </w:rPr>
        <w:t>etc</w:t>
      </w:r>
      <w:r>
        <w:rPr>
          <w:i/>
          <w:szCs w:val="20"/>
        </w:rPr>
        <w:t>.</w:t>
      </w:r>
    </w:p>
    <w:p w14:paraId="00854DC4" w14:textId="77777777" w:rsidR="00FE6880" w:rsidRDefault="00FE6880" w:rsidP="00FE6880">
      <w:pPr>
        <w:ind w:left="-57"/>
        <w:rPr>
          <w:szCs w:val="20"/>
        </w:rPr>
      </w:pPr>
      <w:r>
        <w:rPr>
          <w:szCs w:val="20"/>
        </w:rPr>
        <w:t xml:space="preserve">You can also refer to our “essential” or “further” readings (especially re “links to concepts”). Overall, roughly third of your references should be academic, another third applied conceptual (e.g. from Harvard Business Review), and about </w:t>
      </w:r>
      <w:r w:rsidR="00185FEC">
        <w:rPr>
          <w:szCs w:val="20"/>
        </w:rPr>
        <w:t xml:space="preserve">a </w:t>
      </w:r>
      <w:r>
        <w:rPr>
          <w:szCs w:val="20"/>
        </w:rPr>
        <w:t xml:space="preserve">third relevant to the company/its industry (can be annual reports, business </w:t>
      </w:r>
      <w:r w:rsidR="006A2ECA">
        <w:rPr>
          <w:szCs w:val="20"/>
        </w:rPr>
        <w:t>m</w:t>
      </w:r>
      <w:r>
        <w:rPr>
          <w:szCs w:val="20"/>
        </w:rPr>
        <w:t>agazines</w:t>
      </w:r>
      <w:r w:rsidR="006A2ECA">
        <w:rPr>
          <w:szCs w:val="20"/>
        </w:rPr>
        <w:t>/newspapers</w:t>
      </w:r>
      <w:r>
        <w:rPr>
          <w:szCs w:val="20"/>
        </w:rPr>
        <w:t xml:space="preserve"> etc.)</w:t>
      </w:r>
    </w:p>
    <w:p w14:paraId="1504FBCC" w14:textId="726014D0" w:rsidR="00185FEC" w:rsidRDefault="00185FEC" w:rsidP="00FE6880">
      <w:pPr>
        <w:ind w:left="-57"/>
        <w:rPr>
          <w:szCs w:val="20"/>
        </w:rPr>
      </w:pPr>
      <w:r>
        <w:rPr>
          <w:szCs w:val="20"/>
        </w:rPr>
        <w:t>Late Submission: 10% of the mark for every 24 hours of late submission (max 48 hours late unless you have valid documented medical or other serious reasons.)</w:t>
      </w:r>
    </w:p>
    <w:p w14:paraId="0BFE3C78" w14:textId="77777777" w:rsidR="00BD1292" w:rsidRPr="00A77A6B" w:rsidRDefault="00BD1292" w:rsidP="00BD1292">
      <w:pPr>
        <w:rPr>
          <w:b/>
          <w:szCs w:val="20"/>
        </w:rPr>
      </w:pPr>
      <w:r w:rsidRPr="00A77A6B">
        <w:rPr>
          <w:b/>
          <w:szCs w:val="20"/>
        </w:rPr>
        <w:lastRenderedPageBreak/>
        <w:t>IMAX (case situation as of 2013)</w:t>
      </w:r>
    </w:p>
    <w:p w14:paraId="33627E4B" w14:textId="77777777" w:rsidR="00BD1292" w:rsidRPr="00A77A6B" w:rsidRDefault="00BD1292" w:rsidP="00BD1292">
      <w:pPr>
        <w:pStyle w:val="ListParagraph"/>
        <w:numPr>
          <w:ilvl w:val="0"/>
          <w:numId w:val="4"/>
        </w:numPr>
        <w:spacing w:before="0" w:after="0" w:line="240" w:lineRule="auto"/>
        <w:rPr>
          <w:szCs w:val="20"/>
        </w:rPr>
      </w:pPr>
      <w:r w:rsidRPr="00A77A6B">
        <w:rPr>
          <w:szCs w:val="20"/>
        </w:rPr>
        <w:t>What competitive advantages underlie the success of IMAX? Are these sustainable?</w:t>
      </w:r>
    </w:p>
    <w:p w14:paraId="6493CDA6" w14:textId="77777777" w:rsidR="00BD1292" w:rsidRPr="00A77A6B" w:rsidRDefault="00BD1292" w:rsidP="00BD1292">
      <w:pPr>
        <w:pStyle w:val="ListParagraph"/>
        <w:numPr>
          <w:ilvl w:val="0"/>
          <w:numId w:val="4"/>
        </w:numPr>
        <w:spacing w:before="0" w:after="0" w:line="240" w:lineRule="auto"/>
        <w:rPr>
          <w:szCs w:val="20"/>
        </w:rPr>
      </w:pPr>
      <w:r w:rsidRPr="00A77A6B">
        <w:rPr>
          <w:szCs w:val="20"/>
        </w:rPr>
        <w:t>What motivates IMAX to expand internationally into emerging economies, such as the BRIC countries?</w:t>
      </w:r>
    </w:p>
    <w:p w14:paraId="1545414F" w14:textId="77777777" w:rsidR="00BD1292" w:rsidRPr="00A77A6B" w:rsidRDefault="00BD1292" w:rsidP="00BD1292">
      <w:pPr>
        <w:pStyle w:val="ListParagraph"/>
        <w:numPr>
          <w:ilvl w:val="0"/>
          <w:numId w:val="4"/>
        </w:numPr>
        <w:spacing w:before="0" w:after="0" w:line="240" w:lineRule="auto"/>
        <w:rPr>
          <w:szCs w:val="20"/>
        </w:rPr>
      </w:pPr>
      <w:r w:rsidRPr="00A77A6B">
        <w:rPr>
          <w:szCs w:val="20"/>
        </w:rPr>
        <w:t>How would you evaluate IMAX’s international expansion to date?</w:t>
      </w:r>
    </w:p>
    <w:p w14:paraId="1CE72BAC" w14:textId="77777777" w:rsidR="00BD1292" w:rsidRPr="00A77A6B" w:rsidRDefault="00BD1292" w:rsidP="00BD1292">
      <w:pPr>
        <w:pStyle w:val="ListParagraph"/>
        <w:numPr>
          <w:ilvl w:val="0"/>
          <w:numId w:val="4"/>
        </w:numPr>
        <w:spacing w:before="0" w:after="0" w:line="240" w:lineRule="auto"/>
        <w:rPr>
          <w:szCs w:val="20"/>
        </w:rPr>
      </w:pPr>
      <w:r w:rsidRPr="00A77A6B">
        <w:rPr>
          <w:szCs w:val="20"/>
        </w:rPr>
        <w:t>If 400 of the remaining 1,550 screens are to be allocated to the BRIC economies, how would you distribute them by country? Within each country, how would you distribute them among cities?</w:t>
      </w:r>
    </w:p>
    <w:p w14:paraId="6B833342" w14:textId="77777777" w:rsidR="00BD1292" w:rsidRPr="00A77A6B" w:rsidRDefault="00BD1292" w:rsidP="00BD1292">
      <w:pPr>
        <w:pStyle w:val="ListParagraph"/>
        <w:numPr>
          <w:ilvl w:val="0"/>
          <w:numId w:val="4"/>
        </w:numPr>
        <w:spacing w:before="0" w:after="0" w:line="240" w:lineRule="auto"/>
        <w:rPr>
          <w:szCs w:val="20"/>
        </w:rPr>
      </w:pPr>
      <w:r w:rsidRPr="00A77A6B">
        <w:rPr>
          <w:szCs w:val="20"/>
        </w:rPr>
        <w:t>Identify key business risks in international expansion to the BRIC economies. How should IMAX address these business risks?</w:t>
      </w:r>
    </w:p>
    <w:p w14:paraId="235259A6" w14:textId="77777777" w:rsidR="00BD1292" w:rsidRDefault="00BD1292" w:rsidP="00BD1292">
      <w:pPr>
        <w:rPr>
          <w:szCs w:val="20"/>
        </w:rPr>
      </w:pPr>
    </w:p>
    <w:p w14:paraId="2945F3B9" w14:textId="77777777" w:rsidR="00BD1292" w:rsidRDefault="00BD1292" w:rsidP="00BD1292">
      <w:pPr>
        <w:rPr>
          <w:b/>
          <w:bCs/>
          <w:szCs w:val="20"/>
        </w:rPr>
      </w:pPr>
      <w:r>
        <w:rPr>
          <w:b/>
          <w:bCs/>
          <w:szCs w:val="20"/>
        </w:rPr>
        <w:t>Mondelez International (2016)</w:t>
      </w:r>
    </w:p>
    <w:p w14:paraId="7BA3BF71" w14:textId="77777777" w:rsidR="00BD1292" w:rsidRDefault="00BD1292" w:rsidP="00BD1292">
      <w:pPr>
        <w:pStyle w:val="ListParagraph"/>
        <w:numPr>
          <w:ilvl w:val="0"/>
          <w:numId w:val="7"/>
        </w:numPr>
        <w:rPr>
          <w:bCs/>
          <w:szCs w:val="20"/>
        </w:rPr>
      </w:pPr>
      <w:r>
        <w:rPr>
          <w:bCs/>
          <w:szCs w:val="20"/>
        </w:rPr>
        <w:t>Has the 2012 corporate restructuring at Mondelez produced shareholder value by 2016? Did it have a potential to create shareholder value in 2017-21?</w:t>
      </w:r>
    </w:p>
    <w:p w14:paraId="53F45DF1" w14:textId="77777777" w:rsidR="00BD1292" w:rsidRDefault="00BD1292" w:rsidP="00BD1292">
      <w:pPr>
        <w:pStyle w:val="ListParagraph"/>
        <w:numPr>
          <w:ilvl w:val="0"/>
          <w:numId w:val="7"/>
        </w:numPr>
        <w:rPr>
          <w:bCs/>
          <w:szCs w:val="20"/>
        </w:rPr>
      </w:pPr>
      <w:r>
        <w:rPr>
          <w:bCs/>
          <w:szCs w:val="20"/>
        </w:rPr>
        <w:t>Critically evaluate Mondelez’s organizational structure as of 2016. For example, did the geographic segments and product categories make sense as they were?</w:t>
      </w:r>
    </w:p>
    <w:p w14:paraId="60C4C52F" w14:textId="77777777" w:rsidR="00BD1292" w:rsidRDefault="00BD1292" w:rsidP="00BD1292">
      <w:pPr>
        <w:pStyle w:val="ListParagraph"/>
        <w:numPr>
          <w:ilvl w:val="0"/>
          <w:numId w:val="7"/>
        </w:numPr>
        <w:rPr>
          <w:bCs/>
          <w:szCs w:val="20"/>
        </w:rPr>
      </w:pPr>
      <w:r w:rsidRPr="00953855">
        <w:rPr>
          <w:bCs/>
          <w:szCs w:val="20"/>
        </w:rPr>
        <w:t>Which of Mondelez’s geographic segments is most crucial for creating future value at the company? Which of Mondelez’s product categories has most potential to create future value at the company?</w:t>
      </w:r>
    </w:p>
    <w:p w14:paraId="77CD85B8" w14:textId="77777777" w:rsidR="00BD1292" w:rsidRPr="000521E5" w:rsidRDefault="00BD1292" w:rsidP="00BD1292">
      <w:pPr>
        <w:pStyle w:val="ListParagraph"/>
        <w:numPr>
          <w:ilvl w:val="0"/>
          <w:numId w:val="7"/>
        </w:numPr>
        <w:rPr>
          <w:bCs/>
          <w:szCs w:val="20"/>
        </w:rPr>
      </w:pPr>
      <w:r>
        <w:rPr>
          <w:bCs/>
          <w:szCs w:val="20"/>
        </w:rPr>
        <w:t xml:space="preserve">How far along is Mondelez in its corporate transformation? What remains to be done? Is the strategy consistent with the changing structure of the </w:t>
      </w:r>
      <w:proofErr w:type="gramStart"/>
      <w:r>
        <w:rPr>
          <w:bCs/>
          <w:szCs w:val="20"/>
        </w:rPr>
        <w:t>consumer packaged</w:t>
      </w:r>
      <w:proofErr w:type="gramEnd"/>
      <w:r>
        <w:rPr>
          <w:bCs/>
          <w:szCs w:val="20"/>
        </w:rPr>
        <w:t xml:space="preserve"> goods industry?</w:t>
      </w:r>
    </w:p>
    <w:p w14:paraId="228FE865" w14:textId="77777777" w:rsidR="00BD1292" w:rsidRPr="003C2C8D" w:rsidRDefault="00BD1292" w:rsidP="00BD1292">
      <w:pPr>
        <w:pStyle w:val="ListParagraph"/>
        <w:numPr>
          <w:ilvl w:val="0"/>
          <w:numId w:val="7"/>
        </w:numPr>
        <w:rPr>
          <w:bCs/>
          <w:szCs w:val="20"/>
        </w:rPr>
      </w:pPr>
      <w:r>
        <w:rPr>
          <w:bCs/>
          <w:szCs w:val="20"/>
        </w:rPr>
        <w:t>Does Mondelez’s organizational structure fit emerging markets? How should the company organize and structure itself best to tap into the growth of these markets?</w:t>
      </w:r>
    </w:p>
    <w:p w14:paraId="05D32A9C" w14:textId="77777777" w:rsidR="00BD1292" w:rsidRPr="00A77A6B" w:rsidRDefault="00BD1292" w:rsidP="00BD1292">
      <w:pPr>
        <w:pStyle w:val="Outlineinstructions"/>
        <w:rPr>
          <w:rFonts w:ascii="Verdana" w:hAnsi="Verdana"/>
          <w:sz w:val="20"/>
          <w:szCs w:val="20"/>
        </w:rPr>
      </w:pPr>
    </w:p>
    <w:p w14:paraId="111653D4" w14:textId="77777777" w:rsidR="00BD1292" w:rsidRDefault="00BD1292" w:rsidP="00BD1292">
      <w:pPr>
        <w:rPr>
          <w:b/>
          <w:bCs/>
          <w:szCs w:val="20"/>
        </w:rPr>
      </w:pPr>
      <w:r>
        <w:rPr>
          <w:b/>
          <w:bCs/>
          <w:szCs w:val="20"/>
        </w:rPr>
        <w:t>Fisher &amp; Paykel and Haier (2016)</w:t>
      </w:r>
    </w:p>
    <w:p w14:paraId="209AA57D" w14:textId="77777777" w:rsidR="00BD1292" w:rsidRPr="00F02715" w:rsidRDefault="00BD1292" w:rsidP="00BD1292">
      <w:pPr>
        <w:pStyle w:val="ListParagraph"/>
        <w:numPr>
          <w:ilvl w:val="0"/>
          <w:numId w:val="6"/>
        </w:numPr>
        <w:spacing w:before="0" w:after="0" w:line="240" w:lineRule="auto"/>
        <w:jc w:val="both"/>
        <w:rPr>
          <w:bCs/>
          <w:szCs w:val="20"/>
        </w:rPr>
      </w:pPr>
      <w:r w:rsidRPr="00F02715">
        <w:rPr>
          <w:bCs/>
          <w:szCs w:val="20"/>
        </w:rPr>
        <w:t>How should Haier manage innovation in its F&amp;PA subsidiary?</w:t>
      </w:r>
    </w:p>
    <w:p w14:paraId="67CB6C19" w14:textId="77777777" w:rsidR="00BD1292" w:rsidRPr="00F02715" w:rsidRDefault="00BD1292" w:rsidP="00BD1292">
      <w:pPr>
        <w:pStyle w:val="ListParagraph"/>
        <w:numPr>
          <w:ilvl w:val="0"/>
          <w:numId w:val="6"/>
        </w:numPr>
        <w:spacing w:before="0" w:after="0" w:line="240" w:lineRule="auto"/>
        <w:jc w:val="both"/>
        <w:rPr>
          <w:bCs/>
          <w:szCs w:val="20"/>
        </w:rPr>
      </w:pPr>
      <w:r w:rsidRPr="00F02715">
        <w:rPr>
          <w:bCs/>
          <w:szCs w:val="20"/>
        </w:rPr>
        <w:t>Why did both F&amp;PA and Haier expand in Europe?</w:t>
      </w:r>
    </w:p>
    <w:p w14:paraId="01FEE410" w14:textId="77777777" w:rsidR="00BD1292" w:rsidRPr="00F02715" w:rsidRDefault="00BD1292" w:rsidP="00BD1292">
      <w:pPr>
        <w:pStyle w:val="ListParagraph"/>
        <w:numPr>
          <w:ilvl w:val="0"/>
          <w:numId w:val="6"/>
        </w:numPr>
        <w:spacing w:before="0" w:after="0" w:line="240" w:lineRule="auto"/>
        <w:jc w:val="both"/>
        <w:rPr>
          <w:bCs/>
          <w:szCs w:val="20"/>
        </w:rPr>
      </w:pPr>
      <w:r w:rsidRPr="00F02715">
        <w:rPr>
          <w:bCs/>
          <w:szCs w:val="20"/>
        </w:rPr>
        <w:t>Which of F&amp;PA’s specific innovations have the highest potential to be valuable to Haier as a whole?</w:t>
      </w:r>
    </w:p>
    <w:p w14:paraId="2A7FD949" w14:textId="77777777" w:rsidR="00BD1292" w:rsidRPr="00F02715" w:rsidRDefault="00BD1292" w:rsidP="00BD1292">
      <w:pPr>
        <w:pStyle w:val="ListParagraph"/>
        <w:numPr>
          <w:ilvl w:val="0"/>
          <w:numId w:val="6"/>
        </w:numPr>
        <w:spacing w:before="0" w:after="0" w:line="240" w:lineRule="auto"/>
        <w:jc w:val="both"/>
        <w:rPr>
          <w:bCs/>
          <w:szCs w:val="20"/>
        </w:rPr>
      </w:pPr>
      <w:r w:rsidRPr="00F02715">
        <w:rPr>
          <w:bCs/>
          <w:szCs w:val="20"/>
        </w:rPr>
        <w:t>What can F&amp;PA learn from Haier’s innovation collaboration strategy?</w:t>
      </w:r>
    </w:p>
    <w:p w14:paraId="05BF8417" w14:textId="77777777" w:rsidR="00BD1292" w:rsidRDefault="00BD1292" w:rsidP="00BD1292">
      <w:pPr>
        <w:rPr>
          <w:b/>
          <w:szCs w:val="20"/>
        </w:rPr>
      </w:pPr>
    </w:p>
    <w:p w14:paraId="1F3B242C" w14:textId="77777777" w:rsidR="00BD1292" w:rsidRPr="00A77A6B" w:rsidRDefault="00BD1292" w:rsidP="00BD1292">
      <w:pPr>
        <w:rPr>
          <w:b/>
          <w:szCs w:val="20"/>
        </w:rPr>
      </w:pPr>
      <w:r w:rsidRPr="00A77A6B">
        <w:rPr>
          <w:b/>
          <w:szCs w:val="20"/>
        </w:rPr>
        <w:t>Amazon (case situation as of 201</w:t>
      </w:r>
      <w:r>
        <w:rPr>
          <w:b/>
          <w:szCs w:val="20"/>
        </w:rPr>
        <w:t>6</w:t>
      </w:r>
      <w:r w:rsidRPr="00A77A6B">
        <w:rPr>
          <w:b/>
          <w:szCs w:val="20"/>
        </w:rPr>
        <w:t>)</w:t>
      </w:r>
    </w:p>
    <w:p w14:paraId="3AE78034" w14:textId="77777777" w:rsidR="00BD1292" w:rsidRPr="00A77A6B" w:rsidRDefault="00BD1292" w:rsidP="00BD1292">
      <w:pPr>
        <w:pStyle w:val="ListParagraph"/>
        <w:numPr>
          <w:ilvl w:val="0"/>
          <w:numId w:val="3"/>
        </w:numPr>
        <w:spacing w:before="0" w:after="0" w:line="240" w:lineRule="auto"/>
        <w:rPr>
          <w:szCs w:val="20"/>
        </w:rPr>
      </w:pPr>
      <w:r w:rsidRPr="00A77A6B">
        <w:rPr>
          <w:szCs w:val="20"/>
        </w:rPr>
        <w:t>Did Amazon follow the right strategy to enter India? Did Amazon use the most appropriate mode of entry?</w:t>
      </w:r>
    </w:p>
    <w:p w14:paraId="5E2E2B06" w14:textId="77777777" w:rsidR="00BD1292" w:rsidRPr="00A77A6B" w:rsidRDefault="00BD1292" w:rsidP="00BD1292">
      <w:pPr>
        <w:pStyle w:val="ListParagraph"/>
        <w:numPr>
          <w:ilvl w:val="0"/>
          <w:numId w:val="3"/>
        </w:numPr>
        <w:spacing w:before="0" w:after="0" w:line="240" w:lineRule="auto"/>
        <w:rPr>
          <w:szCs w:val="20"/>
        </w:rPr>
      </w:pPr>
      <w:r w:rsidRPr="00A77A6B">
        <w:rPr>
          <w:szCs w:val="20"/>
        </w:rPr>
        <w:t>Have Amazon and Future Group made the right decision with respect to selecting each other as alliance partners?</w:t>
      </w:r>
    </w:p>
    <w:p w14:paraId="2C3560BE" w14:textId="77777777" w:rsidR="00BD1292" w:rsidRPr="00A77A6B" w:rsidRDefault="00BD1292" w:rsidP="00BD1292">
      <w:pPr>
        <w:pStyle w:val="ListParagraph"/>
        <w:numPr>
          <w:ilvl w:val="0"/>
          <w:numId w:val="3"/>
        </w:numPr>
        <w:spacing w:before="0" w:after="0" w:line="240" w:lineRule="auto"/>
        <w:rPr>
          <w:szCs w:val="20"/>
        </w:rPr>
      </w:pPr>
      <w:r w:rsidRPr="00A77A6B">
        <w:rPr>
          <w:szCs w:val="20"/>
        </w:rPr>
        <w:t>Partners in an alliance should be aware of the various risks involved. What probable risks were faced by Amazon and Future Group? What can they do to safeguard against those risks?</w:t>
      </w:r>
    </w:p>
    <w:p w14:paraId="16CD3184" w14:textId="77777777" w:rsidR="00BD1292" w:rsidRPr="00A77A6B" w:rsidRDefault="00BD1292" w:rsidP="00BD1292">
      <w:pPr>
        <w:pStyle w:val="ListParagraph"/>
        <w:numPr>
          <w:ilvl w:val="0"/>
          <w:numId w:val="3"/>
        </w:numPr>
        <w:spacing w:before="0" w:after="0" w:line="240" w:lineRule="auto"/>
        <w:rPr>
          <w:szCs w:val="20"/>
        </w:rPr>
      </w:pPr>
      <w:r w:rsidRPr="00A77A6B">
        <w:rPr>
          <w:szCs w:val="20"/>
        </w:rPr>
        <w:t>Comment on the structure and details of the alliance. What do you recommend should have been taken care of?</w:t>
      </w:r>
    </w:p>
    <w:p w14:paraId="58F15C49" w14:textId="77777777" w:rsidR="00BD1292" w:rsidRPr="00A77A6B" w:rsidRDefault="00BD1292" w:rsidP="00BD1292">
      <w:pPr>
        <w:pStyle w:val="ListParagraph"/>
        <w:numPr>
          <w:ilvl w:val="0"/>
          <w:numId w:val="3"/>
        </w:numPr>
        <w:spacing w:before="0" w:after="0" w:line="240" w:lineRule="auto"/>
        <w:rPr>
          <w:szCs w:val="20"/>
        </w:rPr>
      </w:pPr>
      <w:r w:rsidRPr="00A77A6B">
        <w:rPr>
          <w:szCs w:val="20"/>
        </w:rPr>
        <w:t>What action would you recommend for the Amazon-Future Group partnership? What are the implications for your recommendations?</w:t>
      </w:r>
    </w:p>
    <w:p w14:paraId="6B0B69FE" w14:textId="77777777" w:rsidR="00BD1292" w:rsidRPr="00FE6880" w:rsidRDefault="00BD1292" w:rsidP="00FE6880">
      <w:pPr>
        <w:ind w:left="-57"/>
        <w:rPr>
          <w:szCs w:val="20"/>
        </w:rPr>
      </w:pPr>
    </w:p>
    <w:sectPr w:rsidR="00BD1292" w:rsidRPr="00FE68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37F3E"/>
    <w:multiLevelType w:val="hybridMultilevel"/>
    <w:tmpl w:val="ABD47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A4453"/>
    <w:multiLevelType w:val="hybridMultilevel"/>
    <w:tmpl w:val="350443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5F03B1"/>
    <w:multiLevelType w:val="hybridMultilevel"/>
    <w:tmpl w:val="760E644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9264DE3"/>
    <w:multiLevelType w:val="hybridMultilevel"/>
    <w:tmpl w:val="0556FC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3BD6955"/>
    <w:multiLevelType w:val="hybridMultilevel"/>
    <w:tmpl w:val="8460DCD0"/>
    <w:lvl w:ilvl="0" w:tplc="B100CA9A">
      <w:start w:val="1"/>
      <w:numFmt w:val="bullet"/>
      <w:lvlText w:val="•"/>
      <w:lvlJc w:val="left"/>
      <w:pPr>
        <w:tabs>
          <w:tab w:val="num" w:pos="720"/>
        </w:tabs>
        <w:ind w:left="720" w:hanging="360"/>
      </w:pPr>
      <w:rPr>
        <w:rFonts w:ascii="Arial" w:hAnsi="Arial" w:hint="default"/>
      </w:rPr>
    </w:lvl>
    <w:lvl w:ilvl="1" w:tplc="00669E50" w:tentative="1">
      <w:start w:val="1"/>
      <w:numFmt w:val="bullet"/>
      <w:lvlText w:val="•"/>
      <w:lvlJc w:val="left"/>
      <w:pPr>
        <w:tabs>
          <w:tab w:val="num" w:pos="1440"/>
        </w:tabs>
        <w:ind w:left="1440" w:hanging="360"/>
      </w:pPr>
      <w:rPr>
        <w:rFonts w:ascii="Arial" w:hAnsi="Arial" w:hint="default"/>
      </w:rPr>
    </w:lvl>
    <w:lvl w:ilvl="2" w:tplc="E33ACBAC" w:tentative="1">
      <w:start w:val="1"/>
      <w:numFmt w:val="bullet"/>
      <w:lvlText w:val="•"/>
      <w:lvlJc w:val="left"/>
      <w:pPr>
        <w:tabs>
          <w:tab w:val="num" w:pos="2160"/>
        </w:tabs>
        <w:ind w:left="2160" w:hanging="360"/>
      </w:pPr>
      <w:rPr>
        <w:rFonts w:ascii="Arial" w:hAnsi="Arial" w:hint="default"/>
      </w:rPr>
    </w:lvl>
    <w:lvl w:ilvl="3" w:tplc="137012C8" w:tentative="1">
      <w:start w:val="1"/>
      <w:numFmt w:val="bullet"/>
      <w:lvlText w:val="•"/>
      <w:lvlJc w:val="left"/>
      <w:pPr>
        <w:tabs>
          <w:tab w:val="num" w:pos="2880"/>
        </w:tabs>
        <w:ind w:left="2880" w:hanging="360"/>
      </w:pPr>
      <w:rPr>
        <w:rFonts w:ascii="Arial" w:hAnsi="Arial" w:hint="default"/>
      </w:rPr>
    </w:lvl>
    <w:lvl w:ilvl="4" w:tplc="F4D8C8B8" w:tentative="1">
      <w:start w:val="1"/>
      <w:numFmt w:val="bullet"/>
      <w:lvlText w:val="•"/>
      <w:lvlJc w:val="left"/>
      <w:pPr>
        <w:tabs>
          <w:tab w:val="num" w:pos="3600"/>
        </w:tabs>
        <w:ind w:left="3600" w:hanging="360"/>
      </w:pPr>
      <w:rPr>
        <w:rFonts w:ascii="Arial" w:hAnsi="Arial" w:hint="default"/>
      </w:rPr>
    </w:lvl>
    <w:lvl w:ilvl="5" w:tplc="E342E3AC" w:tentative="1">
      <w:start w:val="1"/>
      <w:numFmt w:val="bullet"/>
      <w:lvlText w:val="•"/>
      <w:lvlJc w:val="left"/>
      <w:pPr>
        <w:tabs>
          <w:tab w:val="num" w:pos="4320"/>
        </w:tabs>
        <w:ind w:left="4320" w:hanging="360"/>
      </w:pPr>
      <w:rPr>
        <w:rFonts w:ascii="Arial" w:hAnsi="Arial" w:hint="default"/>
      </w:rPr>
    </w:lvl>
    <w:lvl w:ilvl="6" w:tplc="E5FEBFA8" w:tentative="1">
      <w:start w:val="1"/>
      <w:numFmt w:val="bullet"/>
      <w:lvlText w:val="•"/>
      <w:lvlJc w:val="left"/>
      <w:pPr>
        <w:tabs>
          <w:tab w:val="num" w:pos="5040"/>
        </w:tabs>
        <w:ind w:left="5040" w:hanging="360"/>
      </w:pPr>
      <w:rPr>
        <w:rFonts w:ascii="Arial" w:hAnsi="Arial" w:hint="default"/>
      </w:rPr>
    </w:lvl>
    <w:lvl w:ilvl="7" w:tplc="3A1A5B3E" w:tentative="1">
      <w:start w:val="1"/>
      <w:numFmt w:val="bullet"/>
      <w:lvlText w:val="•"/>
      <w:lvlJc w:val="left"/>
      <w:pPr>
        <w:tabs>
          <w:tab w:val="num" w:pos="5760"/>
        </w:tabs>
        <w:ind w:left="5760" w:hanging="360"/>
      </w:pPr>
      <w:rPr>
        <w:rFonts w:ascii="Arial" w:hAnsi="Arial" w:hint="default"/>
      </w:rPr>
    </w:lvl>
    <w:lvl w:ilvl="8" w:tplc="D576AB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5820761"/>
    <w:multiLevelType w:val="hybridMultilevel"/>
    <w:tmpl w:val="190C4156"/>
    <w:lvl w:ilvl="0" w:tplc="CD4EAD06">
      <w:start w:val="1"/>
      <w:numFmt w:val="decimal"/>
      <w:lvlText w:val="%1."/>
      <w:lvlJc w:val="left"/>
      <w:pPr>
        <w:ind w:left="720" w:hanging="360"/>
      </w:pPr>
      <w:rPr>
        <w:rFonts w:ascii="Verdana" w:eastAsiaTheme="minorHAnsi" w:hAnsi="Verdana"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2552DA"/>
    <w:multiLevelType w:val="hybridMultilevel"/>
    <w:tmpl w:val="CC2440F4"/>
    <w:lvl w:ilvl="0" w:tplc="22D23C76">
      <w:start w:val="1"/>
      <w:numFmt w:val="decimal"/>
      <w:lvlText w:val="%1."/>
      <w:lvlJc w:val="left"/>
      <w:pPr>
        <w:ind w:left="720" w:hanging="360"/>
      </w:pPr>
      <w:rPr>
        <w:rFonts w:ascii="Verdana" w:eastAsia="Times New Roman" w:hAnsi="Verdana"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880"/>
    <w:rsid w:val="00000689"/>
    <w:rsid w:val="00034817"/>
    <w:rsid w:val="00036DF8"/>
    <w:rsid w:val="00052B5C"/>
    <w:rsid w:val="00054D4F"/>
    <w:rsid w:val="000619B1"/>
    <w:rsid w:val="00065489"/>
    <w:rsid w:val="00066AA8"/>
    <w:rsid w:val="000A0715"/>
    <w:rsid w:val="000B21B8"/>
    <w:rsid w:val="000B799B"/>
    <w:rsid w:val="000E1F36"/>
    <w:rsid w:val="00185FEC"/>
    <w:rsid w:val="001B0AC9"/>
    <w:rsid w:val="001B274A"/>
    <w:rsid w:val="001D2DAE"/>
    <w:rsid w:val="001D62BD"/>
    <w:rsid w:val="001D631E"/>
    <w:rsid w:val="00220D0C"/>
    <w:rsid w:val="0024172B"/>
    <w:rsid w:val="00246D62"/>
    <w:rsid w:val="00247DA5"/>
    <w:rsid w:val="00277D15"/>
    <w:rsid w:val="002879A2"/>
    <w:rsid w:val="002906BE"/>
    <w:rsid w:val="002921EA"/>
    <w:rsid w:val="0029604B"/>
    <w:rsid w:val="002D382C"/>
    <w:rsid w:val="003356C0"/>
    <w:rsid w:val="003A2994"/>
    <w:rsid w:val="003D2360"/>
    <w:rsid w:val="004451FA"/>
    <w:rsid w:val="00471DB4"/>
    <w:rsid w:val="004859BA"/>
    <w:rsid w:val="0051428C"/>
    <w:rsid w:val="00516FC0"/>
    <w:rsid w:val="00541A0E"/>
    <w:rsid w:val="005D1FF0"/>
    <w:rsid w:val="006866FD"/>
    <w:rsid w:val="006A2ECA"/>
    <w:rsid w:val="00701C92"/>
    <w:rsid w:val="007636C7"/>
    <w:rsid w:val="0077406D"/>
    <w:rsid w:val="00777D01"/>
    <w:rsid w:val="007B3A56"/>
    <w:rsid w:val="007C267D"/>
    <w:rsid w:val="008034D0"/>
    <w:rsid w:val="00833410"/>
    <w:rsid w:val="00847C33"/>
    <w:rsid w:val="008A5284"/>
    <w:rsid w:val="008B6858"/>
    <w:rsid w:val="008C7463"/>
    <w:rsid w:val="008D4E27"/>
    <w:rsid w:val="008E2927"/>
    <w:rsid w:val="00964011"/>
    <w:rsid w:val="009640A5"/>
    <w:rsid w:val="009654EB"/>
    <w:rsid w:val="00981ABA"/>
    <w:rsid w:val="009D5090"/>
    <w:rsid w:val="00A1039F"/>
    <w:rsid w:val="00A771EF"/>
    <w:rsid w:val="00A85076"/>
    <w:rsid w:val="00A91B46"/>
    <w:rsid w:val="00A95FD8"/>
    <w:rsid w:val="00AB28E5"/>
    <w:rsid w:val="00B12E51"/>
    <w:rsid w:val="00B47DA6"/>
    <w:rsid w:val="00B66B31"/>
    <w:rsid w:val="00B81F12"/>
    <w:rsid w:val="00BD1292"/>
    <w:rsid w:val="00BE3E7E"/>
    <w:rsid w:val="00C0711E"/>
    <w:rsid w:val="00C4076D"/>
    <w:rsid w:val="00C579BA"/>
    <w:rsid w:val="00C6218F"/>
    <w:rsid w:val="00C63FF6"/>
    <w:rsid w:val="00C64235"/>
    <w:rsid w:val="00C80137"/>
    <w:rsid w:val="00C81274"/>
    <w:rsid w:val="00C84E46"/>
    <w:rsid w:val="00CB2BF5"/>
    <w:rsid w:val="00CE5253"/>
    <w:rsid w:val="00D24A55"/>
    <w:rsid w:val="00D73E45"/>
    <w:rsid w:val="00DB0404"/>
    <w:rsid w:val="00DF345B"/>
    <w:rsid w:val="00E04D87"/>
    <w:rsid w:val="00E04E0B"/>
    <w:rsid w:val="00E2163A"/>
    <w:rsid w:val="00E33788"/>
    <w:rsid w:val="00E460F2"/>
    <w:rsid w:val="00EA5F0F"/>
    <w:rsid w:val="00EC0DB4"/>
    <w:rsid w:val="00ED619C"/>
    <w:rsid w:val="00EE2EB4"/>
    <w:rsid w:val="00F62427"/>
    <w:rsid w:val="00F66FA7"/>
    <w:rsid w:val="00FD7DB6"/>
    <w:rsid w:val="00FE209A"/>
    <w:rsid w:val="00FE6150"/>
    <w:rsid w:val="00FE6880"/>
    <w:rsid w:val="00FF0D0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8D04"/>
  <w15:chartTrackingRefBased/>
  <w15:docId w15:val="{90912815-BE57-4570-9379-FDA6CB4B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880"/>
    <w:pPr>
      <w:spacing w:before="60" w:after="120" w:line="276" w:lineRule="auto"/>
    </w:pPr>
    <w:rPr>
      <w:rFonts w:ascii="Verdana" w:hAnsi="Verdana"/>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880"/>
    <w:pPr>
      <w:ind w:left="720"/>
      <w:contextualSpacing/>
    </w:pPr>
  </w:style>
  <w:style w:type="paragraph" w:customStyle="1" w:styleId="Outlineinstructions">
    <w:name w:val="Outline instructions"/>
    <w:basedOn w:val="Normal"/>
    <w:autoRedefine/>
    <w:rsid w:val="00FE6880"/>
    <w:pPr>
      <w:spacing w:before="0" w:after="0" w:line="240" w:lineRule="auto"/>
      <w:jc w:val="center"/>
    </w:pPr>
    <w:rPr>
      <w:rFonts w:ascii="Gill Sans MT" w:eastAsia="Times New Roman" w:hAnsi="Gill Sans MT" w:cs="Times New Roman"/>
      <w:sz w:val="22"/>
      <w:szCs w:val="22"/>
    </w:rPr>
  </w:style>
  <w:style w:type="paragraph" w:customStyle="1" w:styleId="OutlineHeading">
    <w:name w:val="Outline Heading"/>
    <w:basedOn w:val="Normal"/>
    <w:rsid w:val="00FE6880"/>
    <w:pPr>
      <w:spacing w:before="0" w:line="240" w:lineRule="auto"/>
      <w:jc w:val="both"/>
    </w:pPr>
    <w:rPr>
      <w:rFonts w:ascii="Arial" w:eastAsia="Times New Roman" w:hAnsi="Arial" w:cs="Times New Roman"/>
      <w:b/>
      <w:szCs w:val="20"/>
    </w:rPr>
  </w:style>
  <w:style w:type="paragraph" w:styleId="BalloonText">
    <w:name w:val="Balloon Text"/>
    <w:basedOn w:val="Normal"/>
    <w:link w:val="BalloonTextChar"/>
    <w:uiPriority w:val="99"/>
    <w:semiHidden/>
    <w:unhideWhenUsed/>
    <w:rsid w:val="00833410"/>
    <w:pPr>
      <w:spacing w:before="0"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833410"/>
    <w:rPr>
      <w:rFonts w:ascii="Segoe UI" w:hAnsi="Segoe UI" w:cs="Segoe UI"/>
      <w:sz w:val="18"/>
      <w:szCs w:val="18"/>
    </w:rPr>
  </w:style>
  <w:style w:type="character" w:styleId="CommentReference">
    <w:name w:val="annotation reference"/>
    <w:basedOn w:val="DefaultParagraphFont"/>
    <w:uiPriority w:val="99"/>
    <w:semiHidden/>
    <w:unhideWhenUsed/>
    <w:rsid w:val="00BD1292"/>
    <w:rPr>
      <w:sz w:val="16"/>
      <w:szCs w:val="16"/>
    </w:rPr>
  </w:style>
  <w:style w:type="paragraph" w:styleId="CommentText">
    <w:name w:val="annotation text"/>
    <w:basedOn w:val="Normal"/>
    <w:link w:val="CommentTextChar"/>
    <w:uiPriority w:val="99"/>
    <w:semiHidden/>
    <w:unhideWhenUsed/>
    <w:rsid w:val="00BD1292"/>
    <w:pPr>
      <w:spacing w:line="240" w:lineRule="auto"/>
    </w:pPr>
    <w:rPr>
      <w:szCs w:val="20"/>
    </w:rPr>
  </w:style>
  <w:style w:type="character" w:customStyle="1" w:styleId="CommentTextChar">
    <w:name w:val="Comment Text Char"/>
    <w:basedOn w:val="DefaultParagraphFont"/>
    <w:link w:val="CommentText"/>
    <w:uiPriority w:val="99"/>
    <w:semiHidden/>
    <w:rsid w:val="00BD129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1292"/>
    <w:rPr>
      <w:b/>
      <w:bCs/>
    </w:rPr>
  </w:style>
  <w:style w:type="character" w:customStyle="1" w:styleId="CommentSubjectChar">
    <w:name w:val="Comment Subject Char"/>
    <w:basedOn w:val="CommentTextChar"/>
    <w:link w:val="CommentSubject"/>
    <w:uiPriority w:val="99"/>
    <w:semiHidden/>
    <w:rsid w:val="00BD129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583514">
      <w:bodyDiv w:val="1"/>
      <w:marLeft w:val="0"/>
      <w:marRight w:val="0"/>
      <w:marTop w:val="0"/>
      <w:marBottom w:val="0"/>
      <w:divBdr>
        <w:top w:val="none" w:sz="0" w:space="0" w:color="auto"/>
        <w:left w:val="none" w:sz="0" w:space="0" w:color="auto"/>
        <w:bottom w:val="none" w:sz="0" w:space="0" w:color="auto"/>
        <w:right w:val="none" w:sz="0" w:space="0" w:color="auto"/>
      </w:divBdr>
      <w:divsChild>
        <w:div w:id="2021855259">
          <w:marLeft w:val="547"/>
          <w:marRight w:val="0"/>
          <w:marTop w:val="144"/>
          <w:marBottom w:val="0"/>
          <w:divBdr>
            <w:top w:val="none" w:sz="0" w:space="0" w:color="auto"/>
            <w:left w:val="none" w:sz="0" w:space="0" w:color="auto"/>
            <w:bottom w:val="none" w:sz="0" w:space="0" w:color="auto"/>
            <w:right w:val="none" w:sz="0" w:space="0" w:color="auto"/>
          </w:divBdr>
        </w:div>
        <w:div w:id="1172334991">
          <w:marLeft w:val="547"/>
          <w:marRight w:val="0"/>
          <w:marTop w:val="144"/>
          <w:marBottom w:val="0"/>
          <w:divBdr>
            <w:top w:val="none" w:sz="0" w:space="0" w:color="auto"/>
            <w:left w:val="none" w:sz="0" w:space="0" w:color="auto"/>
            <w:bottom w:val="none" w:sz="0" w:space="0" w:color="auto"/>
            <w:right w:val="none" w:sz="0" w:space="0" w:color="auto"/>
          </w:divBdr>
        </w:div>
        <w:div w:id="1558007353">
          <w:marLeft w:val="547"/>
          <w:marRight w:val="0"/>
          <w:marTop w:val="144"/>
          <w:marBottom w:val="0"/>
          <w:divBdr>
            <w:top w:val="none" w:sz="0" w:space="0" w:color="auto"/>
            <w:left w:val="none" w:sz="0" w:space="0" w:color="auto"/>
            <w:bottom w:val="none" w:sz="0" w:space="0" w:color="auto"/>
            <w:right w:val="none" w:sz="0" w:space="0" w:color="auto"/>
          </w:divBdr>
        </w:div>
        <w:div w:id="613752049">
          <w:marLeft w:val="547"/>
          <w:marRight w:val="0"/>
          <w:marTop w:val="144"/>
          <w:marBottom w:val="0"/>
          <w:divBdr>
            <w:top w:val="none" w:sz="0" w:space="0" w:color="auto"/>
            <w:left w:val="none" w:sz="0" w:space="0" w:color="auto"/>
            <w:bottom w:val="none" w:sz="0" w:space="0" w:color="auto"/>
            <w:right w:val="none" w:sz="0" w:space="0" w:color="auto"/>
          </w:divBdr>
        </w:div>
        <w:div w:id="1951279462">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Zamborsky</dc:creator>
  <cp:keywords/>
  <dc:description/>
  <cp:lastModifiedBy>Peter Zamborsky</cp:lastModifiedBy>
  <cp:revision>7</cp:revision>
  <cp:lastPrinted>2019-07-23T22:56:00Z</cp:lastPrinted>
  <dcterms:created xsi:type="dcterms:W3CDTF">2021-07-12T03:31:00Z</dcterms:created>
  <dcterms:modified xsi:type="dcterms:W3CDTF">2021-07-13T23:31:00Z</dcterms:modified>
</cp:coreProperties>
</file>